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Default="00C53C49" w:rsidP="00807A7A">
      <w:pPr>
        <w:widowControl/>
        <w:jc w:val="center"/>
        <w:rPr>
          <w:rFonts w:ascii="Century" w:eastAsia="ＭＳ Ｐ明朝" w:hAnsi="Century" w:cs="ＭＳ Ｐゴシック"/>
          <w:b/>
          <w:color w:val="000000"/>
          <w:kern w:val="0"/>
          <w:szCs w:val="21"/>
        </w:rPr>
      </w:pPr>
      <w:bookmarkStart w:id="0" w:name="_GoBack"/>
      <w:bookmarkEnd w:id="0"/>
      <w:r>
        <w:rPr>
          <w:rFonts w:ascii="Century" w:eastAsia="ＭＳ Ｐ明朝" w:hAnsi="Century" w:cs="ＭＳ Ｐゴシック" w:hint="eastAsia"/>
          <w:b/>
          <w:color w:val="000000"/>
          <w:kern w:val="0"/>
          <w:szCs w:val="21"/>
        </w:rPr>
        <w:t>確定申告をすると得をする人はこんな人です。</w:t>
      </w:r>
    </w:p>
    <w:p w:rsidR="00807A7A" w:rsidRPr="001D6DFE" w:rsidRDefault="00807A7A" w:rsidP="00F66FA7">
      <w:pPr>
        <w:widowControl/>
        <w:rPr>
          <w:rFonts w:ascii="Century" w:eastAsia="ＭＳ Ｐ明朝" w:hAnsi="Century" w:cs="ＭＳ Ｐゴシック"/>
          <w:b/>
          <w:color w:val="000000"/>
          <w:kern w:val="0"/>
          <w:szCs w:val="21"/>
        </w:rPr>
      </w:pPr>
    </w:p>
    <w:p w:rsidR="00C53C49" w:rsidRDefault="00C53C49" w:rsidP="00C53C49">
      <w:pPr>
        <w:widowControl/>
        <w:ind w:firstLineChars="100" w:firstLine="210"/>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皆様の所得税及び復興特別所得税（以下「税金」という）は、会社が毎月の給与やボーナスから天引き（源泉徴収）して国に納付し、その年最後に給与を支払う際に精算します（年末調整）。したがって、皆様は、基本的に、確定申告を行う必要がありません。</w:t>
      </w:r>
    </w:p>
    <w:p w:rsidR="000F59A4" w:rsidRDefault="000F59A4" w:rsidP="00C53C49">
      <w:pPr>
        <w:widowControl/>
        <w:ind w:firstLineChars="100" w:firstLine="210"/>
        <w:rPr>
          <w:rFonts w:ascii="Century" w:eastAsia="ＭＳ Ｐ明朝" w:hAnsi="Century" w:cs="ＭＳ Ｐゴシック"/>
          <w:color w:val="000000"/>
          <w:kern w:val="0"/>
          <w:szCs w:val="21"/>
        </w:rPr>
      </w:pPr>
    </w:p>
    <w:p w:rsidR="00C53C49" w:rsidRDefault="00C53C49" w:rsidP="00C53C49">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ところが、以下のような場合には、確定申告を行うことにより、確定申告をしない場合よりも納付する税金が少なくなる場合があります。</w:t>
      </w:r>
    </w:p>
    <w:p w:rsidR="00C53C49" w:rsidRDefault="00C53C49" w:rsidP="00C53C49">
      <w:pPr>
        <w:pStyle w:val="a4"/>
        <w:widowControl/>
        <w:numPr>
          <w:ilvl w:val="0"/>
          <w:numId w:val="2"/>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マイホームを住宅ローンなどで取得した場合</w:t>
      </w:r>
    </w:p>
    <w:p w:rsidR="00C53C49" w:rsidRDefault="00C53C49" w:rsidP="00C53C49">
      <w:pPr>
        <w:pStyle w:val="a4"/>
        <w:widowControl/>
        <w:numPr>
          <w:ilvl w:val="0"/>
          <w:numId w:val="2"/>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多額の医療費を支払った場合</w:t>
      </w:r>
    </w:p>
    <w:p w:rsidR="00C53C49" w:rsidRDefault="00C53C49" w:rsidP="00C53C49">
      <w:pPr>
        <w:pStyle w:val="a4"/>
        <w:widowControl/>
        <w:numPr>
          <w:ilvl w:val="0"/>
          <w:numId w:val="2"/>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災害や盗難にあった場合</w:t>
      </w:r>
    </w:p>
    <w:p w:rsidR="00C53C49" w:rsidRDefault="00C53C49" w:rsidP="00C53C49">
      <w:pPr>
        <w:pStyle w:val="a4"/>
        <w:widowControl/>
        <w:numPr>
          <w:ilvl w:val="0"/>
          <w:numId w:val="2"/>
        </w:numPr>
        <w:ind w:leftChars="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年の途中で退職し、再就職していない場合</w:t>
      </w:r>
    </w:p>
    <w:p w:rsidR="00C53C49" w:rsidRDefault="00C53C49" w:rsidP="00C53C49">
      <w:pPr>
        <w:pStyle w:val="a4"/>
        <w:widowControl/>
        <w:numPr>
          <w:ilvl w:val="0"/>
          <w:numId w:val="2"/>
        </w:numPr>
        <w:ind w:leftChars="0"/>
        <w:rPr>
          <w:rFonts w:ascii="Century" w:eastAsia="ＭＳ Ｐ明朝" w:hAnsi="Century" w:cs="ＭＳ Ｐゴシック" w:hint="eastAsia"/>
          <w:color w:val="000000"/>
          <w:kern w:val="0"/>
          <w:szCs w:val="21"/>
        </w:rPr>
      </w:pPr>
      <w:r>
        <w:rPr>
          <w:rFonts w:ascii="Century" w:eastAsia="ＭＳ Ｐ明朝" w:hAnsi="Century" w:cs="ＭＳ Ｐゴシック" w:hint="eastAsia"/>
          <w:color w:val="000000"/>
          <w:kern w:val="0"/>
          <w:szCs w:val="21"/>
        </w:rPr>
        <w:t>給与所得者の特定支出控除の特例の適用を受ける場合</w:t>
      </w:r>
    </w:p>
    <w:p w:rsidR="000F59A4" w:rsidRPr="000F59A4" w:rsidRDefault="000F59A4" w:rsidP="000F59A4">
      <w:pPr>
        <w:widowControl/>
        <w:rPr>
          <w:rFonts w:ascii="Century" w:eastAsia="ＭＳ Ｐ明朝" w:hAnsi="Century" w:cs="ＭＳ Ｐゴシック"/>
          <w:color w:val="000000"/>
          <w:kern w:val="0"/>
          <w:szCs w:val="21"/>
        </w:rPr>
      </w:pPr>
    </w:p>
    <w:p w:rsidR="00C53C49" w:rsidRDefault="00C53C49" w:rsidP="00C53C49">
      <w:pPr>
        <w:widowControl/>
        <w:ind w:left="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皆様におかれましては、上記のうち、①・②・④などは身近に起こりうることではないでしょうか。い</w:t>
      </w:r>
    </w:p>
    <w:p w:rsidR="00C53C49" w:rsidRPr="00C53C49" w:rsidRDefault="00C53C49" w:rsidP="00C53C49">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つもの年と違ったことが起こった場合、</w:t>
      </w:r>
      <w:r w:rsidR="00F87A77">
        <w:rPr>
          <w:rFonts w:ascii="Century" w:eastAsia="ＭＳ Ｐ明朝" w:hAnsi="Century" w:cs="ＭＳ Ｐゴシック" w:hint="eastAsia"/>
          <w:color w:val="000000"/>
          <w:kern w:val="0"/>
          <w:szCs w:val="21"/>
        </w:rPr>
        <w:t>「確定申告をするとよいのではないか？」ということを心に留めておくことをお勧めします。</w:t>
      </w:r>
    </w:p>
    <w:p w:rsidR="00BA1006" w:rsidRPr="00C53C49" w:rsidRDefault="00BA100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6"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7"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DE6251" w:rsidRPr="00DE6251" w:rsidRDefault="000F59A4" w:rsidP="00BA1006">
      <w:pPr>
        <w:widowControl/>
        <w:rPr>
          <w:rFonts w:ascii="Century" w:eastAsia="ＭＳ Ｐ明朝" w:hAnsi="Century"/>
        </w:rPr>
      </w:pPr>
      <w:hyperlink r:id="rId8" w:history="1">
        <w:r w:rsidR="00DE6251">
          <w:rPr>
            <w:rStyle w:val="a3"/>
            <w:rFonts w:ascii="Century" w:eastAsia="ＭＳ Ｐ明朝" w:hAnsi="Century"/>
          </w:rPr>
          <w:t>http://www.ebata-cpa.biz/</w:t>
        </w:r>
      </w:hyperlink>
    </w:p>
    <w:sectPr w:rsidR="00DE6251" w:rsidRPr="00DE62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F59A4"/>
    <w:rsid w:val="00136F1E"/>
    <w:rsid w:val="001D6DFE"/>
    <w:rsid w:val="002A2E21"/>
    <w:rsid w:val="003B4364"/>
    <w:rsid w:val="004E56E6"/>
    <w:rsid w:val="006726D4"/>
    <w:rsid w:val="006E5F5A"/>
    <w:rsid w:val="00807A7A"/>
    <w:rsid w:val="00842CB5"/>
    <w:rsid w:val="008A402C"/>
    <w:rsid w:val="00B70F01"/>
    <w:rsid w:val="00BA1006"/>
    <w:rsid w:val="00BB788E"/>
    <w:rsid w:val="00BE1073"/>
    <w:rsid w:val="00C53C49"/>
    <w:rsid w:val="00D551DC"/>
    <w:rsid w:val="00DD48D5"/>
    <w:rsid w:val="00DE6251"/>
    <w:rsid w:val="00E47EAE"/>
    <w:rsid w:val="00F43820"/>
    <w:rsid w:val="00F66FA7"/>
    <w:rsid w:val="00F776C4"/>
    <w:rsid w:val="00F8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Mention">
    <w:name w:val="Mention"/>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UnresolvedMention">
    <w:name w:val="Unresolved Mention"/>
    <w:basedOn w:val="a0"/>
    <w:uiPriority w:val="99"/>
    <w:semiHidden/>
    <w:unhideWhenUsed/>
    <w:rsid w:val="003B43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 w:id="2067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a-cpa.biz/" TargetMode="External"/><Relationship Id="rId3" Type="http://schemas.microsoft.com/office/2007/relationships/stylesWithEffects" Target="stylesWithEffects.xml"/><Relationship Id="rId7" Type="http://schemas.openxmlformats.org/officeDocument/2006/relationships/hyperlink" Target="mailto:info@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ta-cp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3</cp:revision>
  <dcterms:created xsi:type="dcterms:W3CDTF">2018-01-30T21:58:00Z</dcterms:created>
  <dcterms:modified xsi:type="dcterms:W3CDTF">2018-01-30T22:27:00Z</dcterms:modified>
</cp:coreProperties>
</file>